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D8E1" w14:textId="060C7022" w:rsidR="003D0667" w:rsidRPr="00E655D6" w:rsidRDefault="00E66C81">
      <w:pPr>
        <w:rPr>
          <w:sz w:val="24"/>
          <w:szCs w:val="24"/>
        </w:rPr>
      </w:pPr>
      <w:r>
        <w:rPr>
          <w:sz w:val="24"/>
          <w:szCs w:val="24"/>
        </w:rPr>
        <w:t>The following is the agenda and notes from the FAHA documents subcommittee meeting on 9/21/2023. In attendance were Jeff Miller, John Tomlinson and Shasta Kelley.</w:t>
      </w:r>
    </w:p>
    <w:p w14:paraId="664A51EC" w14:textId="0A8C5CB8" w:rsidR="003D0667" w:rsidRPr="00E655D6" w:rsidRDefault="003D0667" w:rsidP="00E66C81">
      <w:pPr>
        <w:pStyle w:val="ListParagraph"/>
        <w:numPr>
          <w:ilvl w:val="0"/>
          <w:numId w:val="1"/>
        </w:numPr>
        <w:ind w:left="360"/>
        <w:rPr>
          <w:rFonts w:eastAsia="Times New Roman"/>
          <w:sz w:val="24"/>
          <w:szCs w:val="24"/>
        </w:rPr>
      </w:pPr>
      <w:r w:rsidRPr="00E655D6">
        <w:rPr>
          <w:rFonts w:eastAsia="Times New Roman"/>
          <w:sz w:val="24"/>
          <w:szCs w:val="24"/>
        </w:rPr>
        <w:t xml:space="preserve">Bylaws: We have 3 paragraphs still focused on a multi-member LLC. The move to a single-member LLC leaves these paragraphs out of harmony with this document and others. I have attached “2023-08-23 Bylaw Revisions to Reflect change to Single-Member LLC” for your aid in identifying the paragraphs; </w:t>
      </w:r>
      <w:r w:rsidRPr="00E655D6">
        <w:rPr>
          <w:rFonts w:eastAsia="Times New Roman"/>
          <w:sz w:val="24"/>
          <w:szCs w:val="24"/>
          <w:u w:val="single"/>
        </w:rPr>
        <w:t>Bylaw introduction</w:t>
      </w:r>
      <w:r w:rsidRPr="00E655D6">
        <w:rPr>
          <w:rFonts w:eastAsia="Times New Roman"/>
          <w:sz w:val="24"/>
          <w:szCs w:val="24"/>
        </w:rPr>
        <w:t xml:space="preserve">, </w:t>
      </w:r>
      <w:r w:rsidRPr="00E655D6">
        <w:rPr>
          <w:rFonts w:eastAsia="Times New Roman"/>
          <w:sz w:val="24"/>
          <w:szCs w:val="24"/>
          <w:u w:val="single"/>
        </w:rPr>
        <w:t>2.5.1</w:t>
      </w:r>
      <w:r w:rsidRPr="00E655D6">
        <w:rPr>
          <w:rFonts w:eastAsia="Times New Roman"/>
          <w:sz w:val="24"/>
          <w:szCs w:val="24"/>
        </w:rPr>
        <w:t xml:space="preserve">, </w:t>
      </w:r>
      <w:r w:rsidRPr="00E655D6">
        <w:rPr>
          <w:rFonts w:eastAsia="Times New Roman"/>
          <w:sz w:val="24"/>
          <w:szCs w:val="24"/>
          <w:u w:val="single"/>
        </w:rPr>
        <w:t>2.5.2</w:t>
      </w:r>
    </w:p>
    <w:p w14:paraId="10C62F41" w14:textId="77777777" w:rsidR="003D0667" w:rsidRPr="00E655D6" w:rsidRDefault="003D0667" w:rsidP="00E66C81">
      <w:pPr>
        <w:pStyle w:val="ListParagraph"/>
        <w:ind w:left="360"/>
        <w:rPr>
          <w:rFonts w:eastAsia="Times New Roman"/>
          <w:sz w:val="24"/>
          <w:szCs w:val="24"/>
          <w:u w:val="single"/>
        </w:rPr>
      </w:pPr>
    </w:p>
    <w:p w14:paraId="52B8E123" w14:textId="7E3B16F4" w:rsidR="003D0667" w:rsidRPr="00E655D6" w:rsidRDefault="00E655D6" w:rsidP="00E66C81">
      <w:pPr>
        <w:pStyle w:val="ListParagraph"/>
        <w:ind w:left="360"/>
        <w:rPr>
          <w:rFonts w:eastAsia="Times New Roman"/>
          <w:sz w:val="24"/>
          <w:szCs w:val="24"/>
        </w:rPr>
      </w:pPr>
      <w:r w:rsidRPr="00E655D6">
        <w:rPr>
          <w:rFonts w:eastAsia="Times New Roman"/>
          <w:sz w:val="24"/>
          <w:szCs w:val="24"/>
        </w:rPr>
        <w:t>Shasta will draft the changes needed.</w:t>
      </w:r>
    </w:p>
    <w:p w14:paraId="6F56E818" w14:textId="77777777" w:rsidR="003D0667" w:rsidRPr="00E655D6" w:rsidRDefault="003D0667" w:rsidP="00E66C81">
      <w:pPr>
        <w:pStyle w:val="ListParagraph"/>
        <w:ind w:left="360"/>
        <w:rPr>
          <w:rFonts w:eastAsia="Times New Roman"/>
          <w:sz w:val="24"/>
          <w:szCs w:val="24"/>
        </w:rPr>
      </w:pPr>
    </w:p>
    <w:p w14:paraId="4C35BAD4" w14:textId="77777777" w:rsidR="003D0667" w:rsidRPr="00E655D6" w:rsidRDefault="003D0667" w:rsidP="00E66C81">
      <w:pPr>
        <w:pStyle w:val="ListParagraph"/>
        <w:numPr>
          <w:ilvl w:val="0"/>
          <w:numId w:val="1"/>
        </w:numPr>
        <w:ind w:left="360"/>
        <w:rPr>
          <w:rFonts w:eastAsia="Times New Roman"/>
          <w:sz w:val="24"/>
          <w:szCs w:val="24"/>
        </w:rPr>
      </w:pPr>
      <w:r w:rsidRPr="00E655D6">
        <w:rPr>
          <w:rFonts w:eastAsia="Times New Roman"/>
          <w:sz w:val="24"/>
          <w:szCs w:val="24"/>
        </w:rPr>
        <w:t>Complete Association Agreement legal description appendix: We have an alternative title and escrow company referred to us by a FAHA member and Windermere Broker, CW Title and Escrow.</w:t>
      </w:r>
    </w:p>
    <w:p w14:paraId="1051D1D5" w14:textId="77777777" w:rsidR="003D0667" w:rsidRPr="00E655D6" w:rsidRDefault="003D0667" w:rsidP="00E66C81">
      <w:pPr>
        <w:pStyle w:val="ListParagraph"/>
        <w:ind w:left="360"/>
        <w:rPr>
          <w:rFonts w:eastAsia="Times New Roman"/>
          <w:sz w:val="24"/>
          <w:szCs w:val="24"/>
        </w:rPr>
      </w:pPr>
    </w:p>
    <w:p w14:paraId="3F58AE21" w14:textId="652EE212" w:rsidR="003D0667" w:rsidRPr="00E655D6" w:rsidRDefault="00E655D6" w:rsidP="00E66C81">
      <w:pPr>
        <w:pStyle w:val="ListParagraph"/>
        <w:ind w:left="360"/>
        <w:rPr>
          <w:rFonts w:eastAsia="Times New Roman"/>
          <w:sz w:val="24"/>
          <w:szCs w:val="24"/>
        </w:rPr>
      </w:pPr>
      <w:r w:rsidRPr="00E655D6">
        <w:rPr>
          <w:rFonts w:eastAsia="Times New Roman"/>
          <w:sz w:val="24"/>
          <w:szCs w:val="24"/>
        </w:rPr>
        <w:t>Shasta had difficulty with the company she was trying to work with. They did not understand the description of the work. Jeff will get contact details for the appropriate person at CW Title and Escrow for Shasta so she can work with them.</w:t>
      </w:r>
    </w:p>
    <w:p w14:paraId="1B1E3C3A" w14:textId="77777777" w:rsidR="003D0667" w:rsidRPr="00E655D6" w:rsidRDefault="003D0667" w:rsidP="00E66C81">
      <w:pPr>
        <w:pStyle w:val="ListParagraph"/>
        <w:ind w:left="360"/>
        <w:rPr>
          <w:rFonts w:eastAsia="Times New Roman"/>
          <w:sz w:val="24"/>
          <w:szCs w:val="24"/>
        </w:rPr>
      </w:pPr>
    </w:p>
    <w:p w14:paraId="444D26AA" w14:textId="77777777" w:rsidR="003D0667" w:rsidRPr="00E655D6" w:rsidRDefault="003D0667" w:rsidP="00E66C81">
      <w:pPr>
        <w:pStyle w:val="ListParagraph"/>
        <w:numPr>
          <w:ilvl w:val="0"/>
          <w:numId w:val="1"/>
        </w:numPr>
        <w:ind w:left="360"/>
        <w:rPr>
          <w:rFonts w:eastAsia="Times New Roman"/>
          <w:sz w:val="24"/>
          <w:szCs w:val="24"/>
        </w:rPr>
      </w:pPr>
      <w:r w:rsidRPr="00E655D6">
        <w:rPr>
          <w:rFonts w:eastAsia="Times New Roman"/>
          <w:sz w:val="24"/>
          <w:szCs w:val="24"/>
        </w:rPr>
        <w:t xml:space="preserve">Review the LLC Operating Agreement:  </w:t>
      </w:r>
    </w:p>
    <w:p w14:paraId="5ED124D1" w14:textId="77777777" w:rsidR="003D0667" w:rsidRPr="00E655D6" w:rsidRDefault="003D0667" w:rsidP="00E66C81">
      <w:pPr>
        <w:pStyle w:val="ListParagraph"/>
        <w:numPr>
          <w:ilvl w:val="0"/>
          <w:numId w:val="2"/>
        </w:numPr>
        <w:ind w:left="1080"/>
        <w:rPr>
          <w:rFonts w:eastAsia="Times New Roman"/>
          <w:sz w:val="24"/>
          <w:szCs w:val="24"/>
        </w:rPr>
      </w:pPr>
      <w:r w:rsidRPr="00E655D6">
        <w:rPr>
          <w:rFonts w:eastAsia="Times New Roman"/>
          <w:sz w:val="24"/>
          <w:szCs w:val="24"/>
        </w:rPr>
        <w:t>Does the Operating Agreement need additional language about the conduct of business? It has nothing regarding voting for example.</w:t>
      </w:r>
    </w:p>
    <w:p w14:paraId="003B375D" w14:textId="77777777" w:rsidR="003D0667" w:rsidRPr="00E655D6" w:rsidRDefault="003D0667" w:rsidP="00E66C81">
      <w:pPr>
        <w:pStyle w:val="ListParagraph"/>
        <w:ind w:left="1080"/>
        <w:rPr>
          <w:rFonts w:eastAsia="Times New Roman"/>
          <w:sz w:val="24"/>
          <w:szCs w:val="24"/>
        </w:rPr>
      </w:pPr>
    </w:p>
    <w:p w14:paraId="554ED630" w14:textId="7E1F5264" w:rsidR="003D0667" w:rsidRPr="00E655D6" w:rsidRDefault="00E655D6" w:rsidP="00E66C81">
      <w:pPr>
        <w:pStyle w:val="ListParagraph"/>
        <w:ind w:left="1080"/>
        <w:rPr>
          <w:rFonts w:eastAsia="Times New Roman"/>
          <w:sz w:val="24"/>
          <w:szCs w:val="24"/>
        </w:rPr>
      </w:pPr>
      <w:r w:rsidRPr="00E655D6">
        <w:rPr>
          <w:rFonts w:eastAsia="Times New Roman"/>
          <w:sz w:val="24"/>
          <w:szCs w:val="24"/>
        </w:rPr>
        <w:t xml:space="preserve">Shasta said </w:t>
      </w:r>
      <w:r w:rsidR="00112885">
        <w:rPr>
          <w:rFonts w:eastAsia="Times New Roman"/>
          <w:sz w:val="24"/>
          <w:szCs w:val="24"/>
        </w:rPr>
        <w:t>there is no need for additional language</w:t>
      </w:r>
      <w:r w:rsidRPr="00E655D6">
        <w:rPr>
          <w:rFonts w:eastAsia="Times New Roman"/>
          <w:sz w:val="24"/>
          <w:szCs w:val="24"/>
        </w:rPr>
        <w:t xml:space="preserve"> because the LLC is a single member. The board of managers will set their own operational parameters </w:t>
      </w:r>
      <w:r w:rsidR="00112885">
        <w:rPr>
          <w:rFonts w:eastAsia="Times New Roman"/>
          <w:sz w:val="24"/>
          <w:szCs w:val="24"/>
        </w:rPr>
        <w:t>under</w:t>
      </w:r>
      <w:r w:rsidR="00112885" w:rsidRPr="00E655D6">
        <w:rPr>
          <w:rFonts w:eastAsia="Times New Roman"/>
          <w:sz w:val="24"/>
          <w:szCs w:val="24"/>
        </w:rPr>
        <w:t xml:space="preserve"> </w:t>
      </w:r>
      <w:r w:rsidRPr="00E655D6">
        <w:rPr>
          <w:rFonts w:eastAsia="Times New Roman"/>
          <w:sz w:val="24"/>
          <w:szCs w:val="24"/>
        </w:rPr>
        <w:t>the direction of the member</w:t>
      </w:r>
      <w:proofErr w:type="gramStart"/>
      <w:r w:rsidRPr="00E655D6">
        <w:rPr>
          <w:rFonts w:eastAsia="Times New Roman"/>
          <w:sz w:val="24"/>
          <w:szCs w:val="24"/>
        </w:rPr>
        <w:t>, which is</w:t>
      </w:r>
      <w:proofErr w:type="gramEnd"/>
      <w:r w:rsidRPr="00E655D6">
        <w:rPr>
          <w:rFonts w:eastAsia="Times New Roman"/>
          <w:sz w:val="24"/>
          <w:szCs w:val="24"/>
        </w:rPr>
        <w:t xml:space="preserve"> FAHA. The business conduct rules in the </w:t>
      </w:r>
      <w:r w:rsidRPr="00CA50F0">
        <w:rPr>
          <w:rFonts w:eastAsia="Times New Roman"/>
          <w:sz w:val="24"/>
          <w:szCs w:val="24"/>
          <w:u w:val="single"/>
        </w:rPr>
        <w:t>Association Agreement</w:t>
      </w:r>
      <w:r w:rsidRPr="00E655D6">
        <w:rPr>
          <w:rFonts w:eastAsia="Times New Roman"/>
          <w:sz w:val="24"/>
          <w:szCs w:val="24"/>
        </w:rPr>
        <w:t xml:space="preserve"> and </w:t>
      </w:r>
      <w:r w:rsidRPr="00CA50F0">
        <w:rPr>
          <w:rFonts w:eastAsia="Times New Roman"/>
          <w:sz w:val="24"/>
          <w:szCs w:val="24"/>
          <w:u w:val="single"/>
        </w:rPr>
        <w:t>Bylaws</w:t>
      </w:r>
      <w:r w:rsidRPr="00E655D6">
        <w:rPr>
          <w:rFonts w:eastAsia="Times New Roman"/>
          <w:sz w:val="24"/>
          <w:szCs w:val="24"/>
        </w:rPr>
        <w:t xml:space="preserve"> dictate how oversight is accomplished.</w:t>
      </w:r>
    </w:p>
    <w:p w14:paraId="60E247C1" w14:textId="77777777" w:rsidR="003D0667" w:rsidRPr="00E655D6" w:rsidRDefault="003D0667" w:rsidP="00E66C81">
      <w:pPr>
        <w:pStyle w:val="ListParagraph"/>
        <w:ind w:left="1080"/>
        <w:rPr>
          <w:rFonts w:eastAsia="Times New Roman"/>
          <w:sz w:val="24"/>
          <w:szCs w:val="24"/>
        </w:rPr>
      </w:pPr>
    </w:p>
    <w:p w14:paraId="187E56B2" w14:textId="77777777" w:rsidR="003D0667" w:rsidRPr="00E655D6" w:rsidRDefault="003D0667" w:rsidP="00E66C81">
      <w:pPr>
        <w:pStyle w:val="ListParagraph"/>
        <w:numPr>
          <w:ilvl w:val="0"/>
          <w:numId w:val="2"/>
        </w:numPr>
        <w:ind w:left="1080"/>
        <w:rPr>
          <w:rFonts w:eastAsia="Times New Roman"/>
          <w:sz w:val="24"/>
          <w:szCs w:val="24"/>
        </w:rPr>
      </w:pPr>
      <w:r w:rsidRPr="00E655D6">
        <w:rPr>
          <w:rFonts w:eastAsia="Times New Roman"/>
          <w:sz w:val="24"/>
          <w:szCs w:val="24"/>
        </w:rPr>
        <w:t xml:space="preserve">How does the Member, which is the HOA, sign a check as per “13.3 Company checks in excess of $10,000 shall be signed by both the Chairman of the Board of Managers and the Member.”? Could the same person serve the same role in both organizations? This seems inappropriate. </w:t>
      </w:r>
    </w:p>
    <w:p w14:paraId="4497B272" w14:textId="77777777" w:rsidR="003D0667" w:rsidRPr="00E655D6" w:rsidRDefault="003D0667" w:rsidP="00E66C81">
      <w:pPr>
        <w:pStyle w:val="ListParagraph"/>
        <w:ind w:left="1080"/>
        <w:rPr>
          <w:rFonts w:eastAsia="Times New Roman"/>
          <w:sz w:val="24"/>
          <w:szCs w:val="24"/>
        </w:rPr>
      </w:pPr>
    </w:p>
    <w:p w14:paraId="680D339C" w14:textId="6E4872FF" w:rsidR="00E655D6" w:rsidRDefault="00E655D6" w:rsidP="00E66C81">
      <w:pPr>
        <w:pStyle w:val="ListParagraph"/>
        <w:ind w:left="1080"/>
        <w:rPr>
          <w:rFonts w:eastAsia="Times New Roman"/>
          <w:sz w:val="24"/>
          <w:szCs w:val="24"/>
        </w:rPr>
      </w:pPr>
      <w:r>
        <w:rPr>
          <w:rFonts w:eastAsia="Times New Roman"/>
          <w:sz w:val="24"/>
          <w:szCs w:val="24"/>
        </w:rPr>
        <w:t xml:space="preserve">All of this is under the control of the </w:t>
      </w:r>
      <w:r w:rsidR="00112885">
        <w:rPr>
          <w:rFonts w:eastAsia="Times New Roman"/>
          <w:sz w:val="24"/>
          <w:szCs w:val="24"/>
        </w:rPr>
        <w:t xml:space="preserve">sole </w:t>
      </w:r>
      <w:r>
        <w:rPr>
          <w:rFonts w:eastAsia="Times New Roman"/>
          <w:sz w:val="24"/>
          <w:szCs w:val="24"/>
        </w:rPr>
        <w:t xml:space="preserve">member, FAHA. FAHA appoints the board of managers and grants authority to manage. For those situations requiring two signatures, one from the Board of Managers and one from the Member, FAHA </w:t>
      </w:r>
      <w:r w:rsidR="00112885">
        <w:rPr>
          <w:rFonts w:eastAsia="Times New Roman"/>
          <w:sz w:val="24"/>
          <w:szCs w:val="24"/>
        </w:rPr>
        <w:t xml:space="preserve">simply </w:t>
      </w:r>
      <w:r>
        <w:rPr>
          <w:rFonts w:eastAsia="Times New Roman"/>
          <w:sz w:val="24"/>
          <w:szCs w:val="24"/>
        </w:rPr>
        <w:t>needs to dictate that they are two different individuals.</w:t>
      </w:r>
    </w:p>
    <w:p w14:paraId="50FEEF54" w14:textId="77777777" w:rsidR="003D0667" w:rsidRPr="00E655D6" w:rsidRDefault="003D0667" w:rsidP="00E66C81">
      <w:pPr>
        <w:pStyle w:val="ListParagraph"/>
        <w:ind w:left="1080"/>
        <w:rPr>
          <w:rFonts w:eastAsia="Times New Roman"/>
          <w:sz w:val="24"/>
          <w:szCs w:val="24"/>
        </w:rPr>
      </w:pPr>
    </w:p>
    <w:p w14:paraId="41D0AC4D" w14:textId="77777777" w:rsidR="003D0667" w:rsidRPr="00E655D6" w:rsidRDefault="003D0667" w:rsidP="00E66C81">
      <w:pPr>
        <w:pStyle w:val="ListParagraph"/>
        <w:numPr>
          <w:ilvl w:val="0"/>
          <w:numId w:val="2"/>
        </w:numPr>
        <w:ind w:left="1080"/>
        <w:rPr>
          <w:rFonts w:eastAsia="Times New Roman"/>
          <w:sz w:val="24"/>
          <w:szCs w:val="24"/>
        </w:rPr>
      </w:pPr>
      <w:r w:rsidRPr="00E655D6">
        <w:rPr>
          <w:rFonts w:eastAsia="Times New Roman"/>
          <w:sz w:val="24"/>
          <w:szCs w:val="24"/>
        </w:rPr>
        <w:t>Can we create the LLC without having the Initial Capital Contribution called for in 7(d)? We can still make a contribution, but not enough for the whole purchase.</w:t>
      </w:r>
    </w:p>
    <w:p w14:paraId="57FF7DF7" w14:textId="77777777" w:rsidR="003D0667" w:rsidRPr="00E655D6" w:rsidRDefault="003D0667" w:rsidP="00E66C81">
      <w:pPr>
        <w:pStyle w:val="ListParagraph"/>
        <w:ind w:left="1080"/>
        <w:rPr>
          <w:rFonts w:eastAsia="Times New Roman"/>
          <w:sz w:val="24"/>
          <w:szCs w:val="24"/>
        </w:rPr>
      </w:pPr>
    </w:p>
    <w:p w14:paraId="5DB677C9" w14:textId="48033B68" w:rsidR="003D0667" w:rsidRPr="00E655D6" w:rsidRDefault="00E655D6" w:rsidP="00E66C81">
      <w:pPr>
        <w:pStyle w:val="ListParagraph"/>
        <w:ind w:left="1080"/>
        <w:rPr>
          <w:rFonts w:eastAsia="Times New Roman"/>
          <w:sz w:val="24"/>
          <w:szCs w:val="24"/>
        </w:rPr>
      </w:pPr>
      <w:r>
        <w:rPr>
          <w:rFonts w:eastAsia="Times New Roman"/>
          <w:sz w:val="24"/>
          <w:szCs w:val="24"/>
        </w:rPr>
        <w:t>The simple answer is yes. But, because the LLC is owned by FAHA</w:t>
      </w:r>
      <w:r w:rsidR="00742C73">
        <w:rPr>
          <w:rFonts w:eastAsia="Times New Roman"/>
          <w:sz w:val="24"/>
          <w:szCs w:val="24"/>
        </w:rPr>
        <w:t xml:space="preserve"> as authorized by the Association Agreement, we should initiate signing the Association Agreement so that we have the real authority to proceed. This can be accomplished by completing </w:t>
      </w:r>
      <w:r w:rsidR="00742C73">
        <w:rPr>
          <w:rFonts w:eastAsia="Times New Roman"/>
          <w:sz w:val="24"/>
          <w:szCs w:val="24"/>
        </w:rPr>
        <w:lastRenderedPageBreak/>
        <w:t>the Association Agreement (adding legal descriptions) and having the current board of directors sign it.</w:t>
      </w:r>
    </w:p>
    <w:p w14:paraId="710B2A50" w14:textId="77777777" w:rsidR="003D0667" w:rsidRPr="00E655D6" w:rsidRDefault="003D0667" w:rsidP="00E66C81">
      <w:pPr>
        <w:pStyle w:val="ListParagraph"/>
        <w:ind w:left="1080"/>
        <w:rPr>
          <w:rFonts w:eastAsia="Times New Roman"/>
          <w:sz w:val="24"/>
          <w:szCs w:val="24"/>
        </w:rPr>
      </w:pPr>
    </w:p>
    <w:p w14:paraId="7D6EE44E" w14:textId="6C70A09D" w:rsidR="003D0667" w:rsidRDefault="003D0667" w:rsidP="00E66C81">
      <w:pPr>
        <w:pStyle w:val="ListParagraph"/>
        <w:numPr>
          <w:ilvl w:val="0"/>
          <w:numId w:val="2"/>
        </w:numPr>
        <w:ind w:left="1080"/>
        <w:rPr>
          <w:rFonts w:eastAsia="Times New Roman"/>
          <w:sz w:val="24"/>
          <w:szCs w:val="24"/>
        </w:rPr>
      </w:pPr>
      <w:r w:rsidRPr="00E655D6">
        <w:rPr>
          <w:rFonts w:eastAsia="Times New Roman"/>
          <w:sz w:val="24"/>
          <w:szCs w:val="24"/>
        </w:rPr>
        <w:t>Can we create the LLC under the current FAHA absent a fully signed Association Agreement. (It would be simple to start the signing process with Board members stepping up first).</w:t>
      </w:r>
    </w:p>
    <w:p w14:paraId="51C47EAF" w14:textId="7DE3F9D4" w:rsidR="00CA50F0" w:rsidRDefault="00CA50F0" w:rsidP="00CA50F0">
      <w:pPr>
        <w:pStyle w:val="ListParagraph"/>
        <w:ind w:left="1080"/>
        <w:rPr>
          <w:rFonts w:eastAsia="Times New Roman"/>
          <w:sz w:val="24"/>
          <w:szCs w:val="24"/>
        </w:rPr>
      </w:pPr>
    </w:p>
    <w:p w14:paraId="0DC923C0" w14:textId="65E021AB" w:rsidR="00CA50F0" w:rsidRDefault="00CA50F0" w:rsidP="00CA50F0">
      <w:pPr>
        <w:pStyle w:val="ListParagraph"/>
        <w:ind w:left="1080"/>
        <w:rPr>
          <w:rFonts w:eastAsia="Times New Roman"/>
          <w:sz w:val="24"/>
          <w:szCs w:val="24"/>
        </w:rPr>
      </w:pPr>
      <w:r>
        <w:rPr>
          <w:rFonts w:eastAsia="Times New Roman"/>
          <w:sz w:val="24"/>
          <w:szCs w:val="24"/>
        </w:rPr>
        <w:t>Yes</w:t>
      </w:r>
    </w:p>
    <w:p w14:paraId="152C1B37" w14:textId="77777777" w:rsidR="003D0667" w:rsidRPr="00CA50F0" w:rsidRDefault="003D0667" w:rsidP="00CA50F0">
      <w:pPr>
        <w:rPr>
          <w:rFonts w:eastAsia="Times New Roman"/>
          <w:sz w:val="24"/>
          <w:szCs w:val="24"/>
        </w:rPr>
      </w:pPr>
    </w:p>
    <w:p w14:paraId="2239787A" w14:textId="77777777" w:rsidR="003D0667" w:rsidRDefault="003D0667" w:rsidP="00E66C81">
      <w:pPr>
        <w:pStyle w:val="ListParagraph"/>
        <w:numPr>
          <w:ilvl w:val="0"/>
          <w:numId w:val="1"/>
        </w:numPr>
        <w:ind w:left="360"/>
        <w:rPr>
          <w:rFonts w:eastAsia="Times New Roman"/>
          <w:sz w:val="24"/>
          <w:szCs w:val="24"/>
        </w:rPr>
      </w:pPr>
      <w:r w:rsidRPr="00E655D6">
        <w:rPr>
          <w:rFonts w:eastAsia="Times New Roman"/>
          <w:sz w:val="24"/>
          <w:szCs w:val="24"/>
        </w:rPr>
        <w:t>Discuss starting the Association Agreement signing process (How and When).</w:t>
      </w:r>
    </w:p>
    <w:p w14:paraId="1DF757DA" w14:textId="77777777" w:rsidR="00742C73" w:rsidRDefault="00742C73" w:rsidP="00E66C81">
      <w:pPr>
        <w:rPr>
          <w:rFonts w:eastAsia="Times New Roman"/>
          <w:sz w:val="24"/>
          <w:szCs w:val="24"/>
        </w:rPr>
      </w:pPr>
    </w:p>
    <w:p w14:paraId="4327C1D4" w14:textId="492DDC88" w:rsidR="00742C73" w:rsidRPr="00742C73" w:rsidRDefault="00742C73" w:rsidP="00E66C81">
      <w:pPr>
        <w:rPr>
          <w:rFonts w:eastAsia="Times New Roman"/>
          <w:sz w:val="24"/>
          <w:szCs w:val="24"/>
        </w:rPr>
      </w:pPr>
      <w:r>
        <w:rPr>
          <w:rFonts w:eastAsia="Times New Roman"/>
          <w:sz w:val="24"/>
          <w:szCs w:val="24"/>
        </w:rPr>
        <w:t>This can happen as soon as we have the legal descriptions. See 2 above.</w:t>
      </w:r>
    </w:p>
    <w:p w14:paraId="7861FF81" w14:textId="77777777" w:rsidR="00CF70FD" w:rsidRPr="00E655D6" w:rsidRDefault="00CF70FD" w:rsidP="00E66C81">
      <w:pPr>
        <w:pStyle w:val="ListParagraph"/>
        <w:ind w:left="360"/>
        <w:rPr>
          <w:rFonts w:eastAsia="Times New Roman"/>
          <w:sz w:val="24"/>
          <w:szCs w:val="24"/>
        </w:rPr>
      </w:pPr>
    </w:p>
    <w:p w14:paraId="11CFA8C7" w14:textId="77777777" w:rsidR="003D0667" w:rsidRDefault="003D0667" w:rsidP="00E66C81">
      <w:pPr>
        <w:pStyle w:val="ListParagraph"/>
        <w:numPr>
          <w:ilvl w:val="0"/>
          <w:numId w:val="1"/>
        </w:numPr>
        <w:ind w:left="360"/>
        <w:rPr>
          <w:rFonts w:eastAsia="Times New Roman"/>
          <w:sz w:val="24"/>
          <w:szCs w:val="24"/>
        </w:rPr>
      </w:pPr>
      <w:r w:rsidRPr="00E655D6">
        <w:rPr>
          <w:rFonts w:eastAsia="Times New Roman"/>
          <w:sz w:val="24"/>
          <w:szCs w:val="24"/>
        </w:rPr>
        <w:t xml:space="preserve">General discussion; are we comfortable with level of due diligence regarding liability and insurance? (This is </w:t>
      </w:r>
      <w:proofErr w:type="gramStart"/>
      <w:r w:rsidRPr="00E655D6">
        <w:rPr>
          <w:rFonts w:eastAsia="Times New Roman"/>
          <w:sz w:val="24"/>
          <w:szCs w:val="24"/>
        </w:rPr>
        <w:t>a topic homeowners</w:t>
      </w:r>
      <w:proofErr w:type="gramEnd"/>
      <w:r w:rsidRPr="00E655D6">
        <w:rPr>
          <w:rFonts w:eastAsia="Times New Roman"/>
          <w:sz w:val="24"/>
          <w:szCs w:val="24"/>
        </w:rPr>
        <w:t xml:space="preserve"> are focused on.)</w:t>
      </w:r>
    </w:p>
    <w:p w14:paraId="5B9FF34E" w14:textId="77777777" w:rsidR="00742C73" w:rsidRDefault="00742C73" w:rsidP="00E66C81">
      <w:pPr>
        <w:rPr>
          <w:rFonts w:eastAsia="Times New Roman"/>
          <w:sz w:val="24"/>
          <w:szCs w:val="24"/>
        </w:rPr>
      </w:pPr>
    </w:p>
    <w:p w14:paraId="14B6C5B6" w14:textId="0D5B4711" w:rsidR="00742C73" w:rsidRDefault="00742C73" w:rsidP="00E66C81">
      <w:pPr>
        <w:rPr>
          <w:rFonts w:eastAsia="Times New Roman"/>
          <w:sz w:val="24"/>
          <w:szCs w:val="24"/>
        </w:rPr>
      </w:pPr>
      <w:r>
        <w:rPr>
          <w:rFonts w:eastAsia="Times New Roman"/>
          <w:sz w:val="24"/>
          <w:szCs w:val="24"/>
        </w:rPr>
        <w:t>Given the parameters</w:t>
      </w:r>
      <w:r w:rsidR="00E66C81">
        <w:rPr>
          <w:rFonts w:eastAsia="Times New Roman"/>
          <w:sz w:val="24"/>
          <w:szCs w:val="24"/>
        </w:rPr>
        <w:t xml:space="preserve"> of the settlement and community desires</w:t>
      </w:r>
      <w:r>
        <w:rPr>
          <w:rFonts w:eastAsia="Times New Roman"/>
          <w:sz w:val="24"/>
          <w:szCs w:val="24"/>
        </w:rPr>
        <w:t xml:space="preserve">, we have done as well as is possible. The only other way to </w:t>
      </w:r>
      <w:r w:rsidR="00E31E5C">
        <w:rPr>
          <w:rFonts w:eastAsia="Times New Roman"/>
          <w:sz w:val="24"/>
          <w:szCs w:val="24"/>
        </w:rPr>
        <w:t>reduce our liability</w:t>
      </w:r>
      <w:r>
        <w:rPr>
          <w:rFonts w:eastAsia="Times New Roman"/>
          <w:sz w:val="24"/>
          <w:szCs w:val="24"/>
        </w:rPr>
        <w:t xml:space="preserve"> would be to have a 3</w:t>
      </w:r>
      <w:r w:rsidRPr="00742C73">
        <w:rPr>
          <w:rFonts w:eastAsia="Times New Roman"/>
          <w:sz w:val="24"/>
          <w:szCs w:val="24"/>
          <w:vertAlign w:val="superscript"/>
        </w:rPr>
        <w:t>rd</w:t>
      </w:r>
      <w:r>
        <w:rPr>
          <w:rFonts w:eastAsia="Times New Roman"/>
          <w:sz w:val="24"/>
          <w:szCs w:val="24"/>
        </w:rPr>
        <w:t xml:space="preserve"> party buy </w:t>
      </w:r>
      <w:r w:rsidR="00E66C81">
        <w:rPr>
          <w:rFonts w:eastAsia="Times New Roman"/>
          <w:sz w:val="24"/>
          <w:szCs w:val="24"/>
        </w:rPr>
        <w:t>the airport</w:t>
      </w:r>
      <w:r>
        <w:rPr>
          <w:rFonts w:eastAsia="Times New Roman"/>
          <w:sz w:val="24"/>
          <w:szCs w:val="24"/>
        </w:rPr>
        <w:t xml:space="preserve">. </w:t>
      </w:r>
      <w:r w:rsidR="00E31E5C">
        <w:rPr>
          <w:rFonts w:eastAsia="Times New Roman"/>
          <w:sz w:val="24"/>
          <w:szCs w:val="24"/>
        </w:rPr>
        <w:t xml:space="preserve">We would then be back to square one. </w:t>
      </w:r>
      <w:r>
        <w:rPr>
          <w:rFonts w:eastAsia="Times New Roman"/>
          <w:sz w:val="24"/>
          <w:szCs w:val="24"/>
        </w:rPr>
        <w:t xml:space="preserve">We would have no way to ensure that </w:t>
      </w:r>
      <w:r w:rsidR="00E31E5C">
        <w:rPr>
          <w:rFonts w:eastAsia="Times New Roman"/>
          <w:sz w:val="24"/>
          <w:szCs w:val="24"/>
        </w:rPr>
        <w:t xml:space="preserve">Crest </w:t>
      </w:r>
      <w:r>
        <w:rPr>
          <w:rFonts w:eastAsia="Times New Roman"/>
          <w:sz w:val="24"/>
          <w:szCs w:val="24"/>
        </w:rPr>
        <w:t xml:space="preserve">would remain an airport </w:t>
      </w:r>
      <w:r w:rsidR="00E31E5C">
        <w:rPr>
          <w:rFonts w:eastAsia="Times New Roman"/>
          <w:sz w:val="24"/>
          <w:szCs w:val="24"/>
        </w:rPr>
        <w:t>n</w:t>
      </w:r>
      <w:r>
        <w:rPr>
          <w:rFonts w:eastAsia="Times New Roman"/>
          <w:sz w:val="24"/>
          <w:szCs w:val="24"/>
        </w:rPr>
        <w:t xml:space="preserve">or control how much we are charged for its use. </w:t>
      </w:r>
    </w:p>
    <w:p w14:paraId="218791DD" w14:textId="0D6931E2" w:rsidR="00742C73" w:rsidRDefault="00742C73" w:rsidP="00E66C81">
      <w:pPr>
        <w:rPr>
          <w:rFonts w:eastAsia="Times New Roman"/>
          <w:sz w:val="24"/>
          <w:szCs w:val="24"/>
        </w:rPr>
      </w:pPr>
      <w:r>
        <w:rPr>
          <w:rFonts w:eastAsia="Times New Roman"/>
          <w:sz w:val="24"/>
          <w:szCs w:val="24"/>
        </w:rPr>
        <w:t>We discussed the three elements needed</w:t>
      </w:r>
      <w:r w:rsidR="00E66C81">
        <w:rPr>
          <w:rFonts w:eastAsia="Times New Roman"/>
          <w:sz w:val="24"/>
          <w:szCs w:val="24"/>
        </w:rPr>
        <w:t xml:space="preserve"> to</w:t>
      </w:r>
      <w:r>
        <w:rPr>
          <w:rFonts w:eastAsia="Times New Roman"/>
          <w:sz w:val="24"/>
          <w:szCs w:val="24"/>
        </w:rPr>
        <w:t xml:space="preserve"> protect the airport</w:t>
      </w:r>
      <w:r w:rsidR="00E66C81">
        <w:rPr>
          <w:rFonts w:eastAsia="Times New Roman"/>
          <w:sz w:val="24"/>
          <w:szCs w:val="24"/>
        </w:rPr>
        <w:t xml:space="preserve">, </w:t>
      </w:r>
      <w:r>
        <w:rPr>
          <w:rFonts w:eastAsia="Times New Roman"/>
          <w:sz w:val="24"/>
          <w:szCs w:val="24"/>
        </w:rPr>
        <w:t>our community</w:t>
      </w:r>
      <w:r w:rsidR="00E66C81">
        <w:rPr>
          <w:rFonts w:eastAsia="Times New Roman"/>
          <w:sz w:val="24"/>
          <w:szCs w:val="24"/>
        </w:rPr>
        <w:t xml:space="preserve"> and individual property owners</w:t>
      </w:r>
      <w:r>
        <w:rPr>
          <w:rFonts w:eastAsia="Times New Roman"/>
          <w:sz w:val="24"/>
          <w:szCs w:val="24"/>
        </w:rPr>
        <w:t>. These include:</w:t>
      </w:r>
    </w:p>
    <w:p w14:paraId="6232DAEA" w14:textId="2192F13D" w:rsidR="00742C73" w:rsidRDefault="00C60F42" w:rsidP="00E66C81">
      <w:pPr>
        <w:pStyle w:val="ListParagraph"/>
        <w:numPr>
          <w:ilvl w:val="0"/>
          <w:numId w:val="4"/>
        </w:numPr>
        <w:spacing w:after="120"/>
        <w:ind w:left="720"/>
        <w:rPr>
          <w:rFonts w:eastAsia="Times New Roman"/>
          <w:sz w:val="24"/>
          <w:szCs w:val="24"/>
        </w:rPr>
      </w:pPr>
      <w:r w:rsidRPr="00C60F42">
        <w:rPr>
          <w:rFonts w:eastAsia="Times New Roman"/>
          <w:b/>
          <w:bCs/>
          <w:sz w:val="24"/>
          <w:szCs w:val="24"/>
        </w:rPr>
        <w:t>Organizational Structure</w:t>
      </w:r>
      <w:r>
        <w:rPr>
          <w:rFonts w:eastAsia="Times New Roman"/>
          <w:sz w:val="24"/>
          <w:szCs w:val="24"/>
        </w:rPr>
        <w:br/>
      </w:r>
      <w:r w:rsidR="00742C73">
        <w:rPr>
          <w:rFonts w:eastAsia="Times New Roman"/>
          <w:sz w:val="24"/>
          <w:szCs w:val="24"/>
        </w:rPr>
        <w:t xml:space="preserve">An organizational structure that </w:t>
      </w:r>
      <w:r>
        <w:rPr>
          <w:rFonts w:eastAsia="Times New Roman"/>
          <w:sz w:val="24"/>
          <w:szCs w:val="24"/>
        </w:rPr>
        <w:t>provides separation of airport operational and financial liabilities from the HOA and individual owners. This is accomplished by placing the airport ownership and operation under a limited liability company</w:t>
      </w:r>
      <w:r w:rsidR="00E31E5C">
        <w:rPr>
          <w:rFonts w:eastAsia="Times New Roman"/>
          <w:sz w:val="24"/>
          <w:szCs w:val="24"/>
        </w:rPr>
        <w:t xml:space="preserve"> (LLC)</w:t>
      </w:r>
      <w:r>
        <w:rPr>
          <w:rFonts w:eastAsia="Times New Roman"/>
          <w:sz w:val="24"/>
          <w:szCs w:val="24"/>
        </w:rPr>
        <w:t>.</w:t>
      </w:r>
    </w:p>
    <w:p w14:paraId="220E44CA" w14:textId="30FEC436" w:rsidR="00C60F42" w:rsidRPr="00C60F42" w:rsidRDefault="00C60F42" w:rsidP="00E66C81">
      <w:pPr>
        <w:pStyle w:val="ListParagraph"/>
        <w:numPr>
          <w:ilvl w:val="0"/>
          <w:numId w:val="4"/>
        </w:numPr>
        <w:spacing w:after="120"/>
        <w:ind w:left="720"/>
        <w:rPr>
          <w:rFonts w:eastAsia="Times New Roman"/>
          <w:b/>
          <w:bCs/>
          <w:sz w:val="24"/>
          <w:szCs w:val="24"/>
        </w:rPr>
      </w:pPr>
      <w:r w:rsidRPr="00C60F42">
        <w:rPr>
          <w:rFonts w:eastAsia="Times New Roman"/>
          <w:b/>
          <w:bCs/>
          <w:sz w:val="24"/>
          <w:szCs w:val="24"/>
        </w:rPr>
        <w:t>Adequate Insurance</w:t>
      </w:r>
      <w:r w:rsidRPr="00C60F42">
        <w:rPr>
          <w:rFonts w:eastAsia="Times New Roman"/>
          <w:b/>
          <w:bCs/>
          <w:sz w:val="24"/>
          <w:szCs w:val="24"/>
        </w:rPr>
        <w:br/>
      </w:r>
      <w:r>
        <w:rPr>
          <w:rFonts w:eastAsia="Times New Roman"/>
          <w:sz w:val="24"/>
          <w:szCs w:val="24"/>
        </w:rPr>
        <w:t>The LLC and HOA each must be adequately insured to protect their respective assets.</w:t>
      </w:r>
      <w:r w:rsidR="00E31E5C">
        <w:rPr>
          <w:rFonts w:eastAsia="Times New Roman"/>
          <w:sz w:val="24"/>
          <w:szCs w:val="24"/>
        </w:rPr>
        <w:t xml:space="preserve"> This would include all movement areas and any income generating areas of the airport, </w:t>
      </w:r>
      <w:proofErr w:type="spellStart"/>
      <w:proofErr w:type="gramStart"/>
      <w:r w:rsidR="00E31E5C">
        <w:rPr>
          <w:rFonts w:eastAsia="Times New Roman"/>
          <w:sz w:val="24"/>
          <w:szCs w:val="24"/>
        </w:rPr>
        <w:t>ie</w:t>
      </w:r>
      <w:proofErr w:type="spellEnd"/>
      <w:proofErr w:type="gramEnd"/>
      <w:r w:rsidR="00E31E5C">
        <w:rPr>
          <w:rFonts w:eastAsia="Times New Roman"/>
          <w:sz w:val="24"/>
          <w:szCs w:val="24"/>
        </w:rPr>
        <w:t xml:space="preserve"> the fuel pumps and tanks.</w:t>
      </w:r>
    </w:p>
    <w:p w14:paraId="0977CB2E" w14:textId="55CCB5C1" w:rsidR="00C60F42" w:rsidRPr="00C60F42" w:rsidRDefault="00C60F42" w:rsidP="00E66C81">
      <w:pPr>
        <w:pStyle w:val="ListParagraph"/>
        <w:numPr>
          <w:ilvl w:val="0"/>
          <w:numId w:val="4"/>
        </w:numPr>
        <w:spacing w:after="120"/>
        <w:ind w:left="720"/>
        <w:rPr>
          <w:rFonts w:eastAsia="Times New Roman"/>
          <w:b/>
          <w:bCs/>
          <w:sz w:val="24"/>
          <w:szCs w:val="24"/>
        </w:rPr>
      </w:pPr>
      <w:r>
        <w:rPr>
          <w:rFonts w:eastAsia="Times New Roman"/>
          <w:b/>
          <w:bCs/>
          <w:sz w:val="24"/>
          <w:szCs w:val="24"/>
        </w:rPr>
        <w:t>Competent Management</w:t>
      </w:r>
      <w:r>
        <w:rPr>
          <w:rFonts w:eastAsia="Times New Roman"/>
          <w:b/>
          <w:bCs/>
          <w:sz w:val="24"/>
          <w:szCs w:val="24"/>
        </w:rPr>
        <w:br/>
      </w:r>
      <w:r>
        <w:rPr>
          <w:rFonts w:eastAsia="Times New Roman"/>
          <w:sz w:val="24"/>
          <w:szCs w:val="24"/>
        </w:rPr>
        <w:t xml:space="preserve">The LLC, in particular, must have competent management that pays attention to the airport operation. This will mean </w:t>
      </w:r>
      <w:r w:rsidR="00E31E5C">
        <w:rPr>
          <w:rFonts w:eastAsia="Times New Roman"/>
          <w:sz w:val="24"/>
          <w:szCs w:val="24"/>
        </w:rPr>
        <w:t xml:space="preserve">prioritizing and </w:t>
      </w:r>
      <w:r>
        <w:rPr>
          <w:rFonts w:eastAsia="Times New Roman"/>
          <w:sz w:val="24"/>
          <w:szCs w:val="24"/>
        </w:rPr>
        <w:t xml:space="preserve">addressing the </w:t>
      </w:r>
      <w:proofErr w:type="gramStart"/>
      <w:r>
        <w:rPr>
          <w:rFonts w:eastAsia="Times New Roman"/>
          <w:sz w:val="24"/>
          <w:szCs w:val="24"/>
        </w:rPr>
        <w:t>long ignored</w:t>
      </w:r>
      <w:proofErr w:type="gramEnd"/>
      <w:r>
        <w:rPr>
          <w:rFonts w:eastAsia="Times New Roman"/>
          <w:sz w:val="24"/>
          <w:szCs w:val="24"/>
        </w:rPr>
        <w:t xml:space="preserve"> maintenance of the airport infrastructure and paying attention to the day-to-day operations.</w:t>
      </w:r>
    </w:p>
    <w:p w14:paraId="1A5B9220" w14:textId="68EB2F6F" w:rsidR="00742C73" w:rsidRDefault="00742C73" w:rsidP="00742C73">
      <w:pPr>
        <w:ind w:left="720"/>
        <w:rPr>
          <w:rFonts w:eastAsia="Times New Roman"/>
          <w:sz w:val="24"/>
          <w:szCs w:val="24"/>
        </w:rPr>
      </w:pPr>
      <w:r>
        <w:rPr>
          <w:rFonts w:eastAsia="Times New Roman"/>
          <w:noProof/>
          <w:sz w:val="24"/>
          <w:szCs w:val="24"/>
        </w:rPr>
        <w:lastRenderedPageBreak/>
        <w:drawing>
          <wp:inline distT="0" distB="0" distL="0" distR="0" wp14:anchorId="70598EA5" wp14:editId="040751AC">
            <wp:extent cx="5486400" cy="3200400"/>
            <wp:effectExtent l="0" t="0" r="0" b="19050"/>
            <wp:docPr id="15336647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42939CA" w14:textId="77777777" w:rsidR="00742C73" w:rsidRPr="00742C73" w:rsidRDefault="00742C73" w:rsidP="00742C73">
      <w:pPr>
        <w:ind w:left="720"/>
        <w:rPr>
          <w:rFonts w:eastAsia="Times New Roman"/>
          <w:sz w:val="24"/>
          <w:szCs w:val="24"/>
        </w:rPr>
      </w:pPr>
    </w:p>
    <w:p w14:paraId="63027E7D" w14:textId="77777777" w:rsidR="003D0667" w:rsidRPr="00E655D6" w:rsidRDefault="003D0667">
      <w:pPr>
        <w:rPr>
          <w:sz w:val="24"/>
          <w:szCs w:val="24"/>
        </w:rPr>
      </w:pPr>
    </w:p>
    <w:p w14:paraId="3BED74D2" w14:textId="77777777" w:rsidR="003D0667" w:rsidRPr="00E655D6" w:rsidRDefault="003D0667">
      <w:pPr>
        <w:rPr>
          <w:sz w:val="24"/>
          <w:szCs w:val="24"/>
        </w:rPr>
      </w:pPr>
    </w:p>
    <w:p w14:paraId="730D4875" w14:textId="77777777" w:rsidR="003D0667" w:rsidRPr="00E655D6" w:rsidRDefault="003D0667">
      <w:pPr>
        <w:rPr>
          <w:sz w:val="24"/>
          <w:szCs w:val="24"/>
        </w:rPr>
      </w:pPr>
    </w:p>
    <w:p w14:paraId="5481557D" w14:textId="77777777" w:rsidR="003D0667" w:rsidRPr="00E655D6" w:rsidRDefault="003D0667">
      <w:pPr>
        <w:rPr>
          <w:sz w:val="24"/>
          <w:szCs w:val="24"/>
        </w:rPr>
      </w:pPr>
    </w:p>
    <w:sectPr w:rsidR="003D0667" w:rsidRPr="00E655D6" w:rsidSect="00C60F42">
      <w:headerReference w:type="default" r:id="rId12"/>
      <w:footerReference w:type="default" r:id="rId13"/>
      <w:pgSz w:w="12240" w:h="15840"/>
      <w:pgMar w:top="165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08F5" w14:textId="77777777" w:rsidR="000465CA" w:rsidRDefault="000465CA" w:rsidP="00C60F42">
      <w:pPr>
        <w:spacing w:after="0" w:line="240" w:lineRule="auto"/>
      </w:pPr>
      <w:r>
        <w:separator/>
      </w:r>
    </w:p>
  </w:endnote>
  <w:endnote w:type="continuationSeparator" w:id="0">
    <w:p w14:paraId="18345125" w14:textId="77777777" w:rsidR="000465CA" w:rsidRDefault="000465CA" w:rsidP="00C6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216661"/>
      <w:docPartObj>
        <w:docPartGallery w:val="Page Numbers (Bottom of Page)"/>
        <w:docPartUnique/>
      </w:docPartObj>
    </w:sdtPr>
    <w:sdtEndPr/>
    <w:sdtContent>
      <w:sdt>
        <w:sdtPr>
          <w:id w:val="1728636285"/>
          <w:docPartObj>
            <w:docPartGallery w:val="Page Numbers (Top of Page)"/>
            <w:docPartUnique/>
          </w:docPartObj>
        </w:sdtPr>
        <w:sdtEndPr/>
        <w:sdtContent>
          <w:p w14:paraId="6AE04363" w14:textId="4EC5B2B0" w:rsidR="00E66C81" w:rsidRDefault="00E66C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24FC5A5" w14:textId="77777777" w:rsidR="00E66C81" w:rsidRDefault="00E66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E45B" w14:textId="77777777" w:rsidR="000465CA" w:rsidRDefault="000465CA" w:rsidP="00C60F42">
      <w:pPr>
        <w:spacing w:after="0" w:line="240" w:lineRule="auto"/>
      </w:pPr>
      <w:r>
        <w:separator/>
      </w:r>
    </w:p>
  </w:footnote>
  <w:footnote w:type="continuationSeparator" w:id="0">
    <w:p w14:paraId="6B9A922F" w14:textId="77777777" w:rsidR="000465CA" w:rsidRDefault="000465CA" w:rsidP="00C6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04D1" w14:textId="5869AD82" w:rsidR="00C60F42" w:rsidRDefault="00C60F42">
    <w:pPr>
      <w:pStyle w:val="Header"/>
      <w:rPr>
        <w:sz w:val="28"/>
        <w:szCs w:val="28"/>
      </w:rPr>
    </w:pPr>
    <w:r w:rsidRPr="00C60F42">
      <w:rPr>
        <w:sz w:val="28"/>
        <w:szCs w:val="28"/>
      </w:rPr>
      <w:tab/>
      <w:t>Zoom</w:t>
    </w:r>
    <w:r>
      <w:rPr>
        <w:sz w:val="28"/>
        <w:szCs w:val="28"/>
      </w:rPr>
      <w:t xml:space="preserve"> Meeting with Shasta Kelley</w:t>
    </w:r>
  </w:p>
  <w:p w14:paraId="47A7B69F" w14:textId="3EB66BDD" w:rsidR="00C60F42" w:rsidRPr="00C60F42" w:rsidRDefault="00C60F42">
    <w:pPr>
      <w:pStyle w:val="Header"/>
      <w:rPr>
        <w:sz w:val="28"/>
        <w:szCs w:val="28"/>
      </w:rPr>
    </w:pPr>
    <w:r>
      <w:rPr>
        <w:sz w:val="28"/>
        <w:szCs w:val="28"/>
      </w:rPr>
      <w:tab/>
      <w:t>September 21,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F4D5F"/>
    <w:multiLevelType w:val="hybridMultilevel"/>
    <w:tmpl w:val="F11C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C93692"/>
    <w:multiLevelType w:val="hybridMultilevel"/>
    <w:tmpl w:val="FA229864"/>
    <w:lvl w:ilvl="0" w:tplc="7F1E18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0FE222D"/>
    <w:multiLevelType w:val="hybridMultilevel"/>
    <w:tmpl w:val="F7065FC2"/>
    <w:lvl w:ilvl="0" w:tplc="1D12A54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83327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4140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9573751">
    <w:abstractNumId w:val="1"/>
  </w:num>
  <w:num w:numId="4" w16cid:durableId="115942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67"/>
    <w:rsid w:val="000465CA"/>
    <w:rsid w:val="00112885"/>
    <w:rsid w:val="003D0667"/>
    <w:rsid w:val="004E38D2"/>
    <w:rsid w:val="0062134B"/>
    <w:rsid w:val="00742C73"/>
    <w:rsid w:val="00C60F42"/>
    <w:rsid w:val="00CA50F0"/>
    <w:rsid w:val="00CF70FD"/>
    <w:rsid w:val="00D0388A"/>
    <w:rsid w:val="00E0279B"/>
    <w:rsid w:val="00E31E5C"/>
    <w:rsid w:val="00E655D6"/>
    <w:rsid w:val="00E66C81"/>
    <w:rsid w:val="00E66EC2"/>
    <w:rsid w:val="00FE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FFF0"/>
  <w15:chartTrackingRefBased/>
  <w15:docId w15:val="{A1B7EE5B-DC06-4847-8B8C-32D486A2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667"/>
    <w:pPr>
      <w:spacing w:after="0" w:line="240" w:lineRule="auto"/>
      <w:ind w:left="720"/>
    </w:pPr>
    <w:rPr>
      <w:rFonts w:ascii="Calibri" w:hAnsi="Calibri" w:cs="Calibri"/>
      <w:kern w:val="0"/>
    </w:rPr>
  </w:style>
  <w:style w:type="paragraph" w:styleId="Header">
    <w:name w:val="header"/>
    <w:basedOn w:val="Normal"/>
    <w:link w:val="HeaderChar"/>
    <w:uiPriority w:val="99"/>
    <w:unhideWhenUsed/>
    <w:rsid w:val="00C6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42"/>
  </w:style>
  <w:style w:type="paragraph" w:styleId="Footer">
    <w:name w:val="footer"/>
    <w:basedOn w:val="Normal"/>
    <w:link w:val="FooterChar"/>
    <w:uiPriority w:val="99"/>
    <w:unhideWhenUsed/>
    <w:rsid w:val="00C6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42"/>
  </w:style>
  <w:style w:type="paragraph" w:styleId="Revision">
    <w:name w:val="Revision"/>
    <w:hidden/>
    <w:uiPriority w:val="99"/>
    <w:semiHidden/>
    <w:rsid w:val="00621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3755">
      <w:bodyDiv w:val="1"/>
      <w:marLeft w:val="0"/>
      <w:marRight w:val="0"/>
      <w:marTop w:val="0"/>
      <w:marBottom w:val="0"/>
      <w:divBdr>
        <w:top w:val="none" w:sz="0" w:space="0" w:color="auto"/>
        <w:left w:val="none" w:sz="0" w:space="0" w:color="auto"/>
        <w:bottom w:val="none" w:sz="0" w:space="0" w:color="auto"/>
        <w:right w:val="none" w:sz="0" w:space="0" w:color="auto"/>
      </w:divBdr>
    </w:div>
    <w:div w:id="1646155253">
      <w:bodyDiv w:val="1"/>
      <w:marLeft w:val="0"/>
      <w:marRight w:val="0"/>
      <w:marTop w:val="0"/>
      <w:marBottom w:val="0"/>
      <w:divBdr>
        <w:top w:val="none" w:sz="0" w:space="0" w:color="auto"/>
        <w:left w:val="none" w:sz="0" w:space="0" w:color="auto"/>
        <w:bottom w:val="none" w:sz="0" w:space="0" w:color="auto"/>
        <w:right w:val="none" w:sz="0" w:space="0" w:color="auto"/>
      </w:divBdr>
      <w:divsChild>
        <w:div w:id="724834041">
          <w:marLeft w:val="0"/>
          <w:marRight w:val="0"/>
          <w:marTop w:val="0"/>
          <w:marBottom w:val="0"/>
          <w:divBdr>
            <w:top w:val="none" w:sz="0" w:space="0" w:color="auto"/>
            <w:left w:val="none" w:sz="0" w:space="0" w:color="auto"/>
            <w:bottom w:val="none" w:sz="0" w:space="0" w:color="auto"/>
            <w:right w:val="none" w:sz="0" w:space="0" w:color="auto"/>
          </w:divBdr>
          <w:divsChild>
            <w:div w:id="1089158650">
              <w:marLeft w:val="0"/>
              <w:marRight w:val="0"/>
              <w:marTop w:val="0"/>
              <w:marBottom w:val="0"/>
              <w:divBdr>
                <w:top w:val="none" w:sz="0" w:space="0" w:color="auto"/>
                <w:left w:val="none" w:sz="0" w:space="0" w:color="auto"/>
                <w:bottom w:val="none" w:sz="0" w:space="0" w:color="auto"/>
                <w:right w:val="none" w:sz="0" w:space="0" w:color="auto"/>
              </w:divBdr>
              <w:divsChild>
                <w:div w:id="964887480">
                  <w:marLeft w:val="0"/>
                  <w:marRight w:val="0"/>
                  <w:marTop w:val="0"/>
                  <w:marBottom w:val="0"/>
                  <w:divBdr>
                    <w:top w:val="none" w:sz="0" w:space="0" w:color="auto"/>
                    <w:left w:val="none" w:sz="0" w:space="0" w:color="auto"/>
                    <w:bottom w:val="none" w:sz="0" w:space="0" w:color="auto"/>
                    <w:right w:val="none" w:sz="0" w:space="0" w:color="auto"/>
                  </w:divBdr>
                  <w:divsChild>
                    <w:div w:id="1535773915">
                      <w:marLeft w:val="0"/>
                      <w:marRight w:val="0"/>
                      <w:marTop w:val="0"/>
                      <w:marBottom w:val="0"/>
                      <w:divBdr>
                        <w:top w:val="none" w:sz="0" w:space="0" w:color="auto"/>
                        <w:left w:val="none" w:sz="0" w:space="0" w:color="auto"/>
                        <w:bottom w:val="none" w:sz="0" w:space="0" w:color="auto"/>
                        <w:right w:val="none" w:sz="0" w:space="0" w:color="auto"/>
                      </w:divBdr>
                      <w:divsChild>
                        <w:div w:id="1874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C49948-7ED0-488B-AFD4-A5AD1A1C2F5C}"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F897C08F-E6D3-45B8-AAF7-2895910E43BD}">
      <dgm:prSet phldrT="[Text]"/>
      <dgm:spPr/>
      <dgm:t>
        <a:bodyPr/>
        <a:lstStyle/>
        <a:p>
          <a:r>
            <a:rPr lang="en-US"/>
            <a:t>Organiztional Structure</a:t>
          </a:r>
        </a:p>
      </dgm:t>
    </dgm:pt>
    <dgm:pt modelId="{6DF9CEBC-9088-4159-974C-866AFBC4C241}" type="parTrans" cxnId="{B197ECE3-559A-4169-99ED-25D5F4C389B3}">
      <dgm:prSet/>
      <dgm:spPr/>
      <dgm:t>
        <a:bodyPr/>
        <a:lstStyle/>
        <a:p>
          <a:endParaRPr lang="en-US"/>
        </a:p>
      </dgm:t>
    </dgm:pt>
    <dgm:pt modelId="{74400FB2-76A8-4FE7-B26A-5C8D0254F310}" type="sibTrans" cxnId="{B197ECE3-559A-4169-99ED-25D5F4C389B3}">
      <dgm:prSet/>
      <dgm:spPr/>
      <dgm:t>
        <a:bodyPr/>
        <a:lstStyle/>
        <a:p>
          <a:endParaRPr lang="en-US"/>
        </a:p>
      </dgm:t>
    </dgm:pt>
    <dgm:pt modelId="{E087780B-07E6-4916-8D44-2B953D407D9F}">
      <dgm:prSet phldrT="[Text]"/>
      <dgm:spPr/>
      <dgm:t>
        <a:bodyPr/>
        <a:lstStyle/>
        <a:p>
          <a:r>
            <a:rPr lang="en-US"/>
            <a:t>Adequate Insurance</a:t>
          </a:r>
        </a:p>
      </dgm:t>
    </dgm:pt>
    <dgm:pt modelId="{878D3961-F1EB-4D85-BEC3-533E40F26924}" type="parTrans" cxnId="{E3428C26-A918-41C3-ABCE-8771D79C3172}">
      <dgm:prSet/>
      <dgm:spPr/>
      <dgm:t>
        <a:bodyPr/>
        <a:lstStyle/>
        <a:p>
          <a:endParaRPr lang="en-US"/>
        </a:p>
      </dgm:t>
    </dgm:pt>
    <dgm:pt modelId="{5CF44374-45DD-435A-BAC4-847A0B5BE401}" type="sibTrans" cxnId="{E3428C26-A918-41C3-ABCE-8771D79C3172}">
      <dgm:prSet/>
      <dgm:spPr/>
      <dgm:t>
        <a:bodyPr/>
        <a:lstStyle/>
        <a:p>
          <a:endParaRPr lang="en-US"/>
        </a:p>
      </dgm:t>
    </dgm:pt>
    <dgm:pt modelId="{C3F49274-A54E-4581-B373-7C5BC1A757A7}">
      <dgm:prSet phldrT="[Text]"/>
      <dgm:spPr/>
      <dgm:t>
        <a:bodyPr/>
        <a:lstStyle/>
        <a:p>
          <a:r>
            <a:rPr lang="en-US"/>
            <a:t>Competent Management</a:t>
          </a:r>
        </a:p>
      </dgm:t>
    </dgm:pt>
    <dgm:pt modelId="{B44C0B84-9997-4C3D-ACF4-8074C967D8EC}" type="parTrans" cxnId="{C88808CB-79F7-4066-B632-ED972F79A3E4}">
      <dgm:prSet/>
      <dgm:spPr/>
      <dgm:t>
        <a:bodyPr/>
        <a:lstStyle/>
        <a:p>
          <a:endParaRPr lang="en-US"/>
        </a:p>
      </dgm:t>
    </dgm:pt>
    <dgm:pt modelId="{90706682-320C-401F-B7D5-4C1EF8C79503}" type="sibTrans" cxnId="{C88808CB-79F7-4066-B632-ED972F79A3E4}">
      <dgm:prSet/>
      <dgm:spPr/>
      <dgm:t>
        <a:bodyPr/>
        <a:lstStyle/>
        <a:p>
          <a:endParaRPr lang="en-US"/>
        </a:p>
      </dgm:t>
    </dgm:pt>
    <dgm:pt modelId="{9E9377CB-E4E7-4121-BEDC-FC8DCC4DD180}" type="pres">
      <dgm:prSet presAssocID="{32C49948-7ED0-488B-AFD4-A5AD1A1C2F5C}" presName="Name0" presStyleCnt="0">
        <dgm:presLayoutVars>
          <dgm:dir/>
          <dgm:resizeHandles val="exact"/>
        </dgm:presLayoutVars>
      </dgm:prSet>
      <dgm:spPr/>
    </dgm:pt>
    <dgm:pt modelId="{68EEB119-791D-489E-B537-3828061104B4}" type="pres">
      <dgm:prSet presAssocID="{F897C08F-E6D3-45B8-AAF7-2895910E43BD}" presName="node" presStyleLbl="node1" presStyleIdx="0" presStyleCnt="3">
        <dgm:presLayoutVars>
          <dgm:bulletEnabled val="1"/>
        </dgm:presLayoutVars>
      </dgm:prSet>
      <dgm:spPr/>
    </dgm:pt>
    <dgm:pt modelId="{ADD7709F-2A50-479F-8078-0C789AB0B646}" type="pres">
      <dgm:prSet presAssocID="{74400FB2-76A8-4FE7-B26A-5C8D0254F310}" presName="sibTrans" presStyleLbl="sibTrans2D1" presStyleIdx="0" presStyleCnt="3"/>
      <dgm:spPr/>
    </dgm:pt>
    <dgm:pt modelId="{9A8471BF-82BD-4AB3-A323-81B1792C0B38}" type="pres">
      <dgm:prSet presAssocID="{74400FB2-76A8-4FE7-B26A-5C8D0254F310}" presName="connectorText" presStyleLbl="sibTrans2D1" presStyleIdx="0" presStyleCnt="3"/>
      <dgm:spPr/>
    </dgm:pt>
    <dgm:pt modelId="{41C56573-9F7B-4F82-853D-B331F4A884B7}" type="pres">
      <dgm:prSet presAssocID="{E087780B-07E6-4916-8D44-2B953D407D9F}" presName="node" presStyleLbl="node1" presStyleIdx="1" presStyleCnt="3">
        <dgm:presLayoutVars>
          <dgm:bulletEnabled val="1"/>
        </dgm:presLayoutVars>
      </dgm:prSet>
      <dgm:spPr/>
    </dgm:pt>
    <dgm:pt modelId="{53F233A7-DA9B-4FED-B7E6-D03F1CA11B35}" type="pres">
      <dgm:prSet presAssocID="{5CF44374-45DD-435A-BAC4-847A0B5BE401}" presName="sibTrans" presStyleLbl="sibTrans2D1" presStyleIdx="1" presStyleCnt="3"/>
      <dgm:spPr/>
    </dgm:pt>
    <dgm:pt modelId="{0219DE65-A5D7-4522-A556-9C8204C61A1D}" type="pres">
      <dgm:prSet presAssocID="{5CF44374-45DD-435A-BAC4-847A0B5BE401}" presName="connectorText" presStyleLbl="sibTrans2D1" presStyleIdx="1" presStyleCnt="3"/>
      <dgm:spPr/>
    </dgm:pt>
    <dgm:pt modelId="{D40E1310-1C7F-4871-8730-B55C07351EC5}" type="pres">
      <dgm:prSet presAssocID="{C3F49274-A54E-4581-B373-7C5BC1A757A7}" presName="node" presStyleLbl="node1" presStyleIdx="2" presStyleCnt="3">
        <dgm:presLayoutVars>
          <dgm:bulletEnabled val="1"/>
        </dgm:presLayoutVars>
      </dgm:prSet>
      <dgm:spPr/>
    </dgm:pt>
    <dgm:pt modelId="{0628D272-100E-4507-995E-4048C415D1E7}" type="pres">
      <dgm:prSet presAssocID="{90706682-320C-401F-B7D5-4C1EF8C79503}" presName="sibTrans" presStyleLbl="sibTrans2D1" presStyleIdx="2" presStyleCnt="3"/>
      <dgm:spPr/>
    </dgm:pt>
    <dgm:pt modelId="{CDCD3F57-37AA-4F35-9692-C83EA610663C}" type="pres">
      <dgm:prSet presAssocID="{90706682-320C-401F-B7D5-4C1EF8C79503}" presName="connectorText" presStyleLbl="sibTrans2D1" presStyleIdx="2" presStyleCnt="3"/>
      <dgm:spPr/>
    </dgm:pt>
  </dgm:ptLst>
  <dgm:cxnLst>
    <dgm:cxn modelId="{49C87510-C342-44D5-8D63-E7BF682CE4AD}" type="presOf" srcId="{C3F49274-A54E-4581-B373-7C5BC1A757A7}" destId="{D40E1310-1C7F-4871-8730-B55C07351EC5}" srcOrd="0" destOrd="0" presId="urn:microsoft.com/office/officeart/2005/8/layout/cycle7"/>
    <dgm:cxn modelId="{A9257C16-AF10-479A-85A0-C9414FC212E2}" type="presOf" srcId="{F897C08F-E6D3-45B8-AAF7-2895910E43BD}" destId="{68EEB119-791D-489E-B537-3828061104B4}" srcOrd="0" destOrd="0" presId="urn:microsoft.com/office/officeart/2005/8/layout/cycle7"/>
    <dgm:cxn modelId="{A5C1431D-C68A-4D90-8474-67FCDA5D6348}" type="presOf" srcId="{90706682-320C-401F-B7D5-4C1EF8C79503}" destId="{0628D272-100E-4507-995E-4048C415D1E7}" srcOrd="0" destOrd="0" presId="urn:microsoft.com/office/officeart/2005/8/layout/cycle7"/>
    <dgm:cxn modelId="{E3428C26-A918-41C3-ABCE-8771D79C3172}" srcId="{32C49948-7ED0-488B-AFD4-A5AD1A1C2F5C}" destId="{E087780B-07E6-4916-8D44-2B953D407D9F}" srcOrd="1" destOrd="0" parTransId="{878D3961-F1EB-4D85-BEC3-533E40F26924}" sibTransId="{5CF44374-45DD-435A-BAC4-847A0B5BE401}"/>
    <dgm:cxn modelId="{8971FB2A-74AE-4AA8-8D29-621F5FC2218E}" type="presOf" srcId="{5CF44374-45DD-435A-BAC4-847A0B5BE401}" destId="{53F233A7-DA9B-4FED-B7E6-D03F1CA11B35}" srcOrd="0" destOrd="0" presId="urn:microsoft.com/office/officeart/2005/8/layout/cycle7"/>
    <dgm:cxn modelId="{08572766-4305-49E1-8694-6BE6344D677D}" type="presOf" srcId="{74400FB2-76A8-4FE7-B26A-5C8D0254F310}" destId="{ADD7709F-2A50-479F-8078-0C789AB0B646}" srcOrd="0" destOrd="0" presId="urn:microsoft.com/office/officeart/2005/8/layout/cycle7"/>
    <dgm:cxn modelId="{E022B06B-A9B6-4BBA-9A1C-485C6310CF9B}" type="presOf" srcId="{74400FB2-76A8-4FE7-B26A-5C8D0254F310}" destId="{9A8471BF-82BD-4AB3-A323-81B1792C0B38}" srcOrd="1" destOrd="0" presId="urn:microsoft.com/office/officeart/2005/8/layout/cycle7"/>
    <dgm:cxn modelId="{A35B9199-B859-4312-BD2D-178C3A6C3BFE}" type="presOf" srcId="{E087780B-07E6-4916-8D44-2B953D407D9F}" destId="{41C56573-9F7B-4F82-853D-B331F4A884B7}" srcOrd="0" destOrd="0" presId="urn:microsoft.com/office/officeart/2005/8/layout/cycle7"/>
    <dgm:cxn modelId="{ED1A78B2-EDD4-4AFC-9422-AED44F0CF106}" type="presOf" srcId="{90706682-320C-401F-B7D5-4C1EF8C79503}" destId="{CDCD3F57-37AA-4F35-9692-C83EA610663C}" srcOrd="1" destOrd="0" presId="urn:microsoft.com/office/officeart/2005/8/layout/cycle7"/>
    <dgm:cxn modelId="{C88808CB-79F7-4066-B632-ED972F79A3E4}" srcId="{32C49948-7ED0-488B-AFD4-A5AD1A1C2F5C}" destId="{C3F49274-A54E-4581-B373-7C5BC1A757A7}" srcOrd="2" destOrd="0" parTransId="{B44C0B84-9997-4C3D-ACF4-8074C967D8EC}" sibTransId="{90706682-320C-401F-B7D5-4C1EF8C79503}"/>
    <dgm:cxn modelId="{F3C909CE-5DBD-4B48-9925-31223AC7E376}" type="presOf" srcId="{5CF44374-45DD-435A-BAC4-847A0B5BE401}" destId="{0219DE65-A5D7-4522-A556-9C8204C61A1D}" srcOrd="1" destOrd="0" presId="urn:microsoft.com/office/officeart/2005/8/layout/cycle7"/>
    <dgm:cxn modelId="{B197ECE3-559A-4169-99ED-25D5F4C389B3}" srcId="{32C49948-7ED0-488B-AFD4-A5AD1A1C2F5C}" destId="{F897C08F-E6D3-45B8-AAF7-2895910E43BD}" srcOrd="0" destOrd="0" parTransId="{6DF9CEBC-9088-4159-974C-866AFBC4C241}" sibTransId="{74400FB2-76A8-4FE7-B26A-5C8D0254F310}"/>
    <dgm:cxn modelId="{AFF78FF9-8D6B-47DD-BD43-CC330F11BAD7}" type="presOf" srcId="{32C49948-7ED0-488B-AFD4-A5AD1A1C2F5C}" destId="{9E9377CB-E4E7-4121-BEDC-FC8DCC4DD180}" srcOrd="0" destOrd="0" presId="urn:microsoft.com/office/officeart/2005/8/layout/cycle7"/>
    <dgm:cxn modelId="{0DE6D053-F2AE-4934-92C5-E7B74DFC294B}" type="presParOf" srcId="{9E9377CB-E4E7-4121-BEDC-FC8DCC4DD180}" destId="{68EEB119-791D-489E-B537-3828061104B4}" srcOrd="0" destOrd="0" presId="urn:microsoft.com/office/officeart/2005/8/layout/cycle7"/>
    <dgm:cxn modelId="{DA5CFFC2-A5B8-4184-98D6-F5B02A92787A}" type="presParOf" srcId="{9E9377CB-E4E7-4121-BEDC-FC8DCC4DD180}" destId="{ADD7709F-2A50-479F-8078-0C789AB0B646}" srcOrd="1" destOrd="0" presId="urn:microsoft.com/office/officeart/2005/8/layout/cycle7"/>
    <dgm:cxn modelId="{7D3B4CFF-67A1-4C98-8465-7A74C82E705A}" type="presParOf" srcId="{ADD7709F-2A50-479F-8078-0C789AB0B646}" destId="{9A8471BF-82BD-4AB3-A323-81B1792C0B38}" srcOrd="0" destOrd="0" presId="urn:microsoft.com/office/officeart/2005/8/layout/cycle7"/>
    <dgm:cxn modelId="{3273842F-E323-4B7F-8764-ED3CA754E635}" type="presParOf" srcId="{9E9377CB-E4E7-4121-BEDC-FC8DCC4DD180}" destId="{41C56573-9F7B-4F82-853D-B331F4A884B7}" srcOrd="2" destOrd="0" presId="urn:microsoft.com/office/officeart/2005/8/layout/cycle7"/>
    <dgm:cxn modelId="{C6574C6F-4F45-4BA9-9E23-35442A56FE8E}" type="presParOf" srcId="{9E9377CB-E4E7-4121-BEDC-FC8DCC4DD180}" destId="{53F233A7-DA9B-4FED-B7E6-D03F1CA11B35}" srcOrd="3" destOrd="0" presId="urn:microsoft.com/office/officeart/2005/8/layout/cycle7"/>
    <dgm:cxn modelId="{32FA26AB-275A-460E-AC35-7B045822BD8E}" type="presParOf" srcId="{53F233A7-DA9B-4FED-B7E6-D03F1CA11B35}" destId="{0219DE65-A5D7-4522-A556-9C8204C61A1D}" srcOrd="0" destOrd="0" presId="urn:microsoft.com/office/officeart/2005/8/layout/cycle7"/>
    <dgm:cxn modelId="{A55EBFA4-5D0D-4161-8F4B-F5891960BA78}" type="presParOf" srcId="{9E9377CB-E4E7-4121-BEDC-FC8DCC4DD180}" destId="{D40E1310-1C7F-4871-8730-B55C07351EC5}" srcOrd="4" destOrd="0" presId="urn:microsoft.com/office/officeart/2005/8/layout/cycle7"/>
    <dgm:cxn modelId="{3AC16692-3A66-499F-8512-2107CAE5E5C5}" type="presParOf" srcId="{9E9377CB-E4E7-4121-BEDC-FC8DCC4DD180}" destId="{0628D272-100E-4507-995E-4048C415D1E7}" srcOrd="5" destOrd="0" presId="urn:microsoft.com/office/officeart/2005/8/layout/cycle7"/>
    <dgm:cxn modelId="{4C8A3703-4B76-4C21-B8F0-80C421385802}" type="presParOf" srcId="{0628D272-100E-4507-995E-4048C415D1E7}" destId="{CDCD3F57-37AA-4F35-9692-C83EA610663C}"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EEB119-791D-489E-B537-3828061104B4}">
      <dsp:nvSpPr>
        <dsp:cNvPr id="0" name=""/>
        <dsp:cNvSpPr/>
      </dsp:nvSpPr>
      <dsp:spPr>
        <a:xfrm>
          <a:off x="1914078" y="654"/>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Organiztional Structure</a:t>
          </a:r>
        </a:p>
      </dsp:txBody>
      <dsp:txXfrm>
        <a:off x="1938362" y="24938"/>
        <a:ext cx="1609674" cy="780553"/>
      </dsp:txXfrm>
    </dsp:sp>
    <dsp:sp modelId="{ADD7709F-2A50-479F-8078-0C789AB0B646}">
      <dsp:nvSpPr>
        <dsp:cNvPr id="0" name=""/>
        <dsp:cNvSpPr/>
      </dsp:nvSpPr>
      <dsp:spPr>
        <a:xfrm rot="3600000">
          <a:off x="2996006" y="1455103"/>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083064" y="1513141"/>
        <a:ext cx="688573" cy="174116"/>
      </dsp:txXfrm>
    </dsp:sp>
    <dsp:sp modelId="{41C56573-9F7B-4F82-853D-B331F4A884B7}">
      <dsp:nvSpPr>
        <dsp:cNvPr id="0" name=""/>
        <dsp:cNvSpPr/>
      </dsp:nvSpPr>
      <dsp:spPr>
        <a:xfrm>
          <a:off x="3282380" y="2370623"/>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Adequate Insurance</a:t>
          </a:r>
        </a:p>
      </dsp:txBody>
      <dsp:txXfrm>
        <a:off x="3306664" y="2394907"/>
        <a:ext cx="1609674" cy="780553"/>
      </dsp:txXfrm>
    </dsp:sp>
    <dsp:sp modelId="{53F233A7-DA9B-4FED-B7E6-D03F1CA11B35}">
      <dsp:nvSpPr>
        <dsp:cNvPr id="0" name=""/>
        <dsp:cNvSpPr/>
      </dsp:nvSpPr>
      <dsp:spPr>
        <a:xfrm rot="10800000">
          <a:off x="2311855" y="2640088"/>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398913" y="2698126"/>
        <a:ext cx="688573" cy="174116"/>
      </dsp:txXfrm>
    </dsp:sp>
    <dsp:sp modelId="{D40E1310-1C7F-4871-8730-B55C07351EC5}">
      <dsp:nvSpPr>
        <dsp:cNvPr id="0" name=""/>
        <dsp:cNvSpPr/>
      </dsp:nvSpPr>
      <dsp:spPr>
        <a:xfrm>
          <a:off x="545776" y="2370623"/>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t>Competent Management</a:t>
          </a:r>
        </a:p>
      </dsp:txBody>
      <dsp:txXfrm>
        <a:off x="570060" y="2394907"/>
        <a:ext cx="1609674" cy="780553"/>
      </dsp:txXfrm>
    </dsp:sp>
    <dsp:sp modelId="{0628D272-100E-4507-995E-4048C415D1E7}">
      <dsp:nvSpPr>
        <dsp:cNvPr id="0" name=""/>
        <dsp:cNvSpPr/>
      </dsp:nvSpPr>
      <dsp:spPr>
        <a:xfrm rot="18000000">
          <a:off x="1627704" y="1455103"/>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714762" y="1513141"/>
        <a:ext cx="688573" cy="17411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Tomlinson</dc:creator>
  <cp:keywords/>
  <dc:description/>
  <cp:lastModifiedBy>John Tomlinson</cp:lastModifiedBy>
  <cp:revision>2</cp:revision>
  <dcterms:created xsi:type="dcterms:W3CDTF">2023-09-22T19:41:00Z</dcterms:created>
  <dcterms:modified xsi:type="dcterms:W3CDTF">2023-09-22T19:41:00Z</dcterms:modified>
</cp:coreProperties>
</file>